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630" w:firstLineChars="196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b/>
          <w:kern w:val="0"/>
          <w:sz w:val="32"/>
          <w:szCs w:val="32"/>
        </w:rPr>
        <w:t>六、政府性基金预算财政拨款支出表</w:t>
      </w:r>
    </w:p>
    <w:bookmarkEnd w:id="0"/>
    <w:p>
      <w:pPr>
        <w:widowControl/>
        <w:ind w:firstLine="72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政府性基金预算财政拨款支出表</w:t>
      </w:r>
    </w:p>
    <w:p>
      <w:pPr>
        <w:widowControl/>
        <w:ind w:firstLine="723" w:firstLineChars="200"/>
        <w:jc w:val="center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 xml:space="preserve">                         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单位：元</w:t>
      </w:r>
    </w:p>
    <w:tbl>
      <w:tblPr>
        <w:tblStyle w:val="3"/>
        <w:tblW w:w="1418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2018年执行数（决算数）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2019年预算数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2019年预算数与2018年执行数（决算数）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人员经费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日常公用经费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91825"/>
    <w:rsid w:val="29991825"/>
    <w:rsid w:val="3D57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2019-02-19T08:08:00Z</dcterms:created>
  <dc:creator>上善若水</dc:creator>
  <cp:lastModifiedBy>上善若水</cp:lastModifiedBy>
  <dcterms:modified xsi:type="dcterms:W3CDTF">2019-02-19T08:08:41Z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