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kern w:val="0"/>
          <w:sz w:val="32"/>
          <w:szCs w:val="32"/>
        </w:rPr>
        <w:t>二、财政拨款支出预算总表</w:t>
      </w:r>
    </w:p>
    <w:bookmarkEnd w:id="0"/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财政拨款支出预算总表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单位：元</w:t>
      </w:r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83"/>
        <w:gridCol w:w="1456"/>
        <w:gridCol w:w="1440"/>
        <w:gridCol w:w="1440"/>
        <w:gridCol w:w="1440"/>
        <w:gridCol w:w="1440"/>
        <w:gridCol w:w="487"/>
        <w:gridCol w:w="1284"/>
        <w:gridCol w:w="1284"/>
        <w:gridCol w:w="12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功能分类科目</w:t>
            </w:r>
          </w:p>
        </w:tc>
        <w:tc>
          <w:tcPr>
            <w:tcW w:w="1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预算安排总计</w:t>
            </w:r>
          </w:p>
        </w:tc>
        <w:tc>
          <w:tcPr>
            <w:tcW w:w="57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一般公共财政预算拨款支出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1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市县本级财力安排支出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市县本级财力安排支出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中共吴忠市纪律检查委员会本级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13892184.28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13892184.28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13892184.28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　2011101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行政运行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9346640.02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9346640.02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9346640.02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　2011102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一般行政管理事务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730000.00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730000.00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730000.00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　2011104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大案要案查处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700000.00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700000.00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700000.00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　2011199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其他纪检监察事务支出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300000.00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300000.00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300000.00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　2080504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未归口管理的行政单位离退休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107365.44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107365.44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107365.44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　2080505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机关事业单位基本养老保险缴费支出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1207721.09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1207721.09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1207721.09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　2101101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行政单位医疗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483088.44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483088.44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483088.44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　2101103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公务员医疗补助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292736.64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292736.64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292736.64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　2210201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住房公积金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724632.65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724632.65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724632.65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/>
          <w:sz w:val="22"/>
          <w:szCs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67F09"/>
    <w:rsid w:val="3BF43240"/>
    <w:rsid w:val="7C46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2019-02-19T08:05:00Z</dcterms:created>
  <dc:creator>上善若水</dc:creator>
  <cp:lastModifiedBy>上善若水</cp:lastModifiedBy>
  <dcterms:modified xsi:type="dcterms:W3CDTF">2019-02-19T08:05:38Z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